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5EF" w:rsidRDefault="007B0B48">
      <w:pPr>
        <w:spacing w:after="160" w:line="259" w:lineRule="auto"/>
        <w:ind w:firstLine="85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Este documento visa orientar os procedimentos necessários para solicitar a Autorização de Captura, Coleta e Transporte na etapa de levantamento/diagnóstico de fauna silvestre terrestre. O presente Termo de Referência está fundamentado na Instrução Normativ</w:t>
      </w:r>
      <w:r>
        <w:rPr>
          <w:rFonts w:ascii="Arial" w:eastAsia="Arial" w:hAnsi="Arial" w:cs="Arial"/>
        </w:rPr>
        <w:t>a nº 146, de 10 de janeiro de 2007 e Lei Complementar nº 140, de 8 de dezembro de 2011.</w:t>
      </w:r>
    </w:p>
    <w:p w:rsidR="009F45EF" w:rsidRDefault="009F45EF">
      <w:pPr>
        <w:spacing w:after="160" w:line="259" w:lineRule="auto"/>
        <w:jc w:val="both"/>
        <w:rPr>
          <w:rFonts w:ascii="Arial" w:eastAsia="Arial" w:hAnsi="Arial" w:cs="Arial"/>
          <w:b/>
        </w:rPr>
      </w:pPr>
    </w:p>
    <w:p w:rsidR="009F45EF" w:rsidRDefault="007B0B48">
      <w:pPr>
        <w:spacing w:after="160" w:line="259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K1. CONDIÇÃO DE APRESENTAÇÃO</w:t>
      </w:r>
    </w:p>
    <w:p w:rsidR="009F45EF" w:rsidRDefault="007B0B48">
      <w:pPr>
        <w:spacing w:after="160" w:line="259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 Plano de Manejo de Fauna deverá ser elaborado por Responsável Técnico legalmente habilitado, acompanhado da respectiva Anotação de Respo</w:t>
      </w:r>
      <w:r>
        <w:rPr>
          <w:rFonts w:ascii="Arial" w:eastAsia="Arial" w:hAnsi="Arial" w:cs="Arial"/>
        </w:rPr>
        <w:t>nsabilidade Técnica – ART.</w:t>
      </w:r>
    </w:p>
    <w:p w:rsidR="009F45EF" w:rsidRDefault="007B0B48">
      <w:pPr>
        <w:spacing w:after="160" w:line="259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K2. CONTEXTOS DO PLANO</w:t>
      </w:r>
    </w:p>
    <w:p w:rsidR="009F45EF" w:rsidRDefault="007B0B48">
      <w:pPr>
        <w:numPr>
          <w:ilvl w:val="1"/>
          <w:numId w:val="1"/>
        </w:num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Identificação do Requerente</w:t>
      </w:r>
    </w:p>
    <w:p w:rsidR="009F45EF" w:rsidRDefault="007B0B48">
      <w:pPr>
        <w:numPr>
          <w:ilvl w:val="1"/>
          <w:numId w:val="1"/>
        </w:num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Identificação do empreendimento (nome e localização)</w:t>
      </w:r>
    </w:p>
    <w:p w:rsidR="009F45EF" w:rsidRDefault="007B0B48">
      <w:pPr>
        <w:numPr>
          <w:ilvl w:val="1"/>
          <w:numId w:val="1"/>
        </w:num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Identificação da equipe técnica (consultoria)</w:t>
      </w:r>
    </w:p>
    <w:p w:rsidR="009F45EF" w:rsidRDefault="007B0B48">
      <w:pPr>
        <w:numPr>
          <w:ilvl w:val="2"/>
          <w:numId w:val="1"/>
        </w:num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Nome;</w:t>
      </w:r>
    </w:p>
    <w:p w:rsidR="009F45EF" w:rsidRDefault="007B0B48">
      <w:pPr>
        <w:numPr>
          <w:ilvl w:val="2"/>
          <w:numId w:val="1"/>
        </w:num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CPF;</w:t>
      </w:r>
    </w:p>
    <w:p w:rsidR="009F45EF" w:rsidRDefault="007B0B48">
      <w:pPr>
        <w:numPr>
          <w:ilvl w:val="2"/>
          <w:numId w:val="1"/>
        </w:num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Telefones/e-mail;</w:t>
      </w:r>
    </w:p>
    <w:p w:rsidR="009F45EF" w:rsidRDefault="007B0B48">
      <w:pPr>
        <w:numPr>
          <w:ilvl w:val="2"/>
          <w:numId w:val="1"/>
        </w:num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Registro no Conselho de Classe;</w:t>
      </w:r>
    </w:p>
    <w:p w:rsidR="009F45EF" w:rsidRDefault="007B0B48">
      <w:pPr>
        <w:numPr>
          <w:ilvl w:val="2"/>
          <w:numId w:val="1"/>
        </w:numPr>
        <w:spacing w:after="160"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Responsável pelo g</w:t>
      </w:r>
      <w:r>
        <w:rPr>
          <w:rFonts w:ascii="Arial" w:eastAsia="Arial" w:hAnsi="Arial" w:cs="Arial"/>
        </w:rPr>
        <w:t>rupo (</w:t>
      </w:r>
      <w:proofErr w:type="spellStart"/>
      <w:r>
        <w:rPr>
          <w:rFonts w:ascii="Arial" w:eastAsia="Arial" w:hAnsi="Arial" w:cs="Arial"/>
        </w:rPr>
        <w:t>avifauna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mastofauna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ictiofauna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herpetofauna</w:t>
      </w:r>
      <w:proofErr w:type="spellEnd"/>
      <w:r>
        <w:rPr>
          <w:rFonts w:ascii="Arial" w:eastAsia="Arial" w:hAnsi="Arial" w:cs="Arial"/>
        </w:rPr>
        <w:t xml:space="preserve"> e etc.)</w:t>
      </w:r>
    </w:p>
    <w:p w:rsidR="009F45EF" w:rsidRDefault="007B0B48">
      <w:pPr>
        <w:spacing w:after="160" w:line="259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K3. PLANO DE TRABALHO DE FAUNA DEVERÁ CONTER</w:t>
      </w:r>
    </w:p>
    <w:p w:rsidR="009F45EF" w:rsidRDefault="007B0B48">
      <w:pPr>
        <w:spacing w:after="160" w:line="259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K3.1. Caracterização e descrição das áreas amostradas</w:t>
      </w:r>
      <w:r>
        <w:rPr>
          <w:rFonts w:ascii="Arial" w:eastAsia="Arial" w:hAnsi="Arial" w:cs="Arial"/>
        </w:rPr>
        <w:t xml:space="preserve"> contendo as coordenadas geográficas da área de interferência, fisionomia da vegetação, presença </w:t>
      </w:r>
      <w:r>
        <w:rPr>
          <w:rFonts w:ascii="Arial" w:eastAsia="Arial" w:hAnsi="Arial" w:cs="Arial"/>
        </w:rPr>
        <w:t>de corpos hídricos. Deve ser apresentado registro fotográfico da área em questão.</w:t>
      </w:r>
    </w:p>
    <w:p w:rsidR="009F45EF" w:rsidRDefault="007B0B48">
      <w:pPr>
        <w:spacing w:after="160" w:line="259" w:lineRule="auto"/>
        <w:ind w:firstLine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K3.2. Metodologia do Levantamento:</w:t>
      </w:r>
    </w:p>
    <w:p w:rsidR="009F45EF" w:rsidRDefault="007B0B48">
      <w:pPr>
        <w:spacing w:after="160" w:line="259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K3.2.1. Descrição detalhada dos equipamentos que serão utilizados para captura e coleta de cada táxon: a descrição deverá conter a quantida</w:t>
      </w:r>
      <w:r>
        <w:rPr>
          <w:rFonts w:ascii="Arial" w:eastAsia="Arial" w:hAnsi="Arial" w:cs="Arial"/>
        </w:rPr>
        <w:t xml:space="preserve">de e os tipos das armadilhas que serão usadas considerando os habitats preferenciais, o posicionamento e os pontos de implantação das armadilhas ou redes, a composição das iscas; Apresentar croqui com a demonstração do </w:t>
      </w:r>
      <w:proofErr w:type="spellStart"/>
      <w:r>
        <w:rPr>
          <w:rFonts w:ascii="Arial" w:eastAsia="Arial" w:hAnsi="Arial" w:cs="Arial"/>
        </w:rPr>
        <w:t>armadilhamento</w:t>
      </w:r>
      <w:proofErr w:type="spellEnd"/>
      <w:r>
        <w:rPr>
          <w:rFonts w:ascii="Arial" w:eastAsia="Arial" w:hAnsi="Arial" w:cs="Arial"/>
        </w:rPr>
        <w:t xml:space="preserve"> na área proposta.</w:t>
      </w:r>
    </w:p>
    <w:p w:rsidR="009F45EF" w:rsidRDefault="007B0B48">
      <w:pPr>
        <w:spacing w:after="160" w:line="259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K3.2</w:t>
      </w:r>
      <w:r>
        <w:rPr>
          <w:rFonts w:ascii="Arial" w:eastAsia="Arial" w:hAnsi="Arial" w:cs="Arial"/>
        </w:rPr>
        <w:t>.2. Descrição do delineamento amostral de todos os métodos de amostragem previstos: o detalhamento deverá conter, no mínimo: os métodos e horários de captura e coleta, a periodicidade de revisão das armadilhas e/ou redes.</w:t>
      </w:r>
    </w:p>
    <w:p w:rsidR="009F45EF" w:rsidRDefault="007B0B48">
      <w:pPr>
        <w:spacing w:after="160" w:line="259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Entendem-se como efetivos os perío</w:t>
      </w:r>
      <w:r>
        <w:rPr>
          <w:rFonts w:ascii="Arial" w:eastAsia="Arial" w:hAnsi="Arial" w:cs="Arial"/>
        </w:rPr>
        <w:t>dos utilizados na amostragem, excluídos aqueles utilizados na montagem, deslocamento e preparação dos equipamentos, materiais e apetrechos utilizados no levantamento, quando couber;</w:t>
      </w:r>
    </w:p>
    <w:p w:rsidR="009F45EF" w:rsidRDefault="007B0B48">
      <w:pPr>
        <w:spacing w:after="160" w:line="259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K3.2.3. Descrição dos procedimentos a serem adotados para os exemplares ca</w:t>
      </w:r>
      <w:r>
        <w:rPr>
          <w:rFonts w:ascii="Arial" w:eastAsia="Arial" w:hAnsi="Arial" w:cs="Arial"/>
        </w:rPr>
        <w:t>pturados ou coletados: Informar as propostas de identificação individual, registro e biometria, os métodos propostos de marcação e eutanásia. Das técnicas de marcação propostas deverão ser excluídos quaisquer tipos de amputação, incluindo digital;</w:t>
      </w:r>
    </w:p>
    <w:p w:rsidR="009F45EF" w:rsidRDefault="007B0B48">
      <w:pPr>
        <w:spacing w:after="160" w:line="259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K3.2.4. </w:t>
      </w:r>
      <w:r>
        <w:rPr>
          <w:rFonts w:ascii="Arial" w:eastAsia="Arial" w:hAnsi="Arial" w:cs="Arial"/>
        </w:rPr>
        <w:t xml:space="preserve">Descrição e </w:t>
      </w:r>
      <w:proofErr w:type="spellStart"/>
      <w:r>
        <w:rPr>
          <w:rFonts w:ascii="Arial" w:eastAsia="Arial" w:hAnsi="Arial" w:cs="Arial"/>
        </w:rPr>
        <w:t>georreferenciamento</w:t>
      </w:r>
      <w:proofErr w:type="spellEnd"/>
      <w:r>
        <w:rPr>
          <w:rFonts w:ascii="Arial" w:eastAsia="Arial" w:hAnsi="Arial" w:cs="Arial"/>
        </w:rPr>
        <w:t xml:space="preserve"> da área proposta de soltura e afugentamento da fauna: apresentar fotos (imagens de satélite e imagens reais da área), coordenadas geográficas ou mapas (DATUM SIRGAS 2000</w:t>
      </w:r>
      <w:bookmarkStart w:id="0" w:name="_GoBack"/>
      <w:bookmarkEnd w:id="0"/>
      <w:r>
        <w:rPr>
          <w:rFonts w:ascii="Arial" w:eastAsia="Arial" w:hAnsi="Arial" w:cs="Arial"/>
        </w:rPr>
        <w:t>).</w:t>
      </w:r>
    </w:p>
    <w:p w:rsidR="009F45EF" w:rsidRDefault="007B0B48">
      <w:pPr>
        <w:spacing w:after="160" w:line="259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K3.3. Espécies ocorrentes no local</w:t>
      </w:r>
      <w:r>
        <w:rPr>
          <w:rFonts w:ascii="Arial" w:eastAsia="Arial" w:hAnsi="Arial" w:cs="Arial"/>
        </w:rPr>
        <w:t xml:space="preserve"> (apresentar, também, na forma de tabela).</w:t>
      </w:r>
    </w:p>
    <w:p w:rsidR="009F45EF" w:rsidRDefault="007B0B48">
      <w:pPr>
        <w:spacing w:after="160" w:line="259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Lista de espécies da fauna com nome científico e popular descrita para a localidade ou região, baseada em dados secundários, indicando as espécies constantes em listas oficiais de fauna ameaçada com distribuição </w:t>
      </w:r>
      <w:r>
        <w:rPr>
          <w:rFonts w:ascii="Arial" w:eastAsia="Arial" w:hAnsi="Arial" w:cs="Arial"/>
        </w:rPr>
        <w:t>potencial na área do empreendimento, independente do grupo animal a que pertencem. Na ausência desses dados para a região, deverão ser consideradas as espécies descritas para o ecossistema ou macrorregião;</w:t>
      </w:r>
    </w:p>
    <w:p w:rsidR="009F45EF" w:rsidRDefault="007B0B48">
      <w:pPr>
        <w:spacing w:after="160" w:line="259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Descrição detalhada dos grupos de importância par</w:t>
      </w:r>
      <w:r>
        <w:rPr>
          <w:rFonts w:ascii="Arial" w:eastAsia="Arial" w:hAnsi="Arial" w:cs="Arial"/>
        </w:rPr>
        <w:t>a a saúde pública regional, cada uma das classes dos vertebrados, classes de invertebrados pertinentes;</w:t>
      </w:r>
    </w:p>
    <w:p w:rsidR="009F45EF" w:rsidRDefault="007B0B48">
      <w:pPr>
        <w:spacing w:after="160" w:line="259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Em caso de ocorrência, no local do empreendimento, de focos epidemiológicos, fauna potencialmente invasora, inclusive doméstica, ou outras espécies ofi</w:t>
      </w:r>
      <w:r>
        <w:rPr>
          <w:rFonts w:ascii="Arial" w:eastAsia="Arial" w:hAnsi="Arial" w:cs="Arial"/>
        </w:rPr>
        <w:t>cialmente reconhecidas como ameaçadas de extinção, estas devem ser incluídas na lista apresentada.</w:t>
      </w:r>
    </w:p>
    <w:p w:rsidR="009F45EF" w:rsidRDefault="007B0B48">
      <w:pPr>
        <w:spacing w:after="160" w:line="259" w:lineRule="auto"/>
        <w:ind w:firstLine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K3.4. Destino do Material Biológico.</w:t>
      </w:r>
    </w:p>
    <w:p w:rsidR="009F45EF" w:rsidRDefault="007B0B48">
      <w:pPr>
        <w:spacing w:after="160" w:line="259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Informação referente ao destino de material biológico coletado durante o emprego das técnicas de manejo. Apresentar anuê</w:t>
      </w:r>
      <w:r>
        <w:rPr>
          <w:rFonts w:ascii="Arial" w:eastAsia="Arial" w:hAnsi="Arial" w:cs="Arial"/>
        </w:rPr>
        <w:t>ncia (carta de aceite) da instituição onde serão depositados os grupos taxonômicos que serão recebidos.</w:t>
      </w:r>
    </w:p>
    <w:p w:rsidR="009F45EF" w:rsidRDefault="007B0B48">
      <w:pPr>
        <w:spacing w:after="160" w:line="259" w:lineRule="auto"/>
        <w:ind w:firstLine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K3.5. Cronograma dos Serviços.</w:t>
      </w:r>
    </w:p>
    <w:p w:rsidR="009F45EF" w:rsidRDefault="007B0B48">
      <w:pPr>
        <w:spacing w:after="160" w:line="259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Cronograma de execução do levantamento contendo a estimativa dos dias que serão realizadas as atividades de captura e col</w:t>
      </w:r>
      <w:r>
        <w:rPr>
          <w:rFonts w:ascii="Arial" w:eastAsia="Arial" w:hAnsi="Arial" w:cs="Arial"/>
        </w:rPr>
        <w:t>eta, contendo inclusive a implantação e desinstalação das armadilhas.</w:t>
      </w:r>
    </w:p>
    <w:p w:rsidR="009F45EF" w:rsidRDefault="007B0B48">
      <w:pPr>
        <w:spacing w:after="160" w:line="259" w:lineRule="auto"/>
        <w:ind w:firstLine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K3.6. Proposição de Medidas Mitigadoras.</w:t>
      </w:r>
    </w:p>
    <w:p w:rsidR="009F45EF" w:rsidRDefault="007B0B48">
      <w:pPr>
        <w:spacing w:after="160" w:line="259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Análise do Plano de Manejo de Fauna para o empreendimento, que possa mitigar impactos ambientais causados;</w:t>
      </w:r>
    </w:p>
    <w:p w:rsidR="009F45EF" w:rsidRDefault="007B0B48">
      <w:pPr>
        <w:spacing w:after="160" w:line="259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Remoção dos animais para locais lice</w:t>
      </w:r>
      <w:r>
        <w:rPr>
          <w:rFonts w:ascii="Arial" w:eastAsia="Arial" w:hAnsi="Arial" w:cs="Arial"/>
        </w:rPr>
        <w:t>nciados por órgão ambiental competente;</w:t>
      </w:r>
    </w:p>
    <w:p w:rsidR="009F45EF" w:rsidRDefault="007B0B48">
      <w:pPr>
        <w:spacing w:after="160" w:line="259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Outros assuntos pertinentes (impactos nos recursos hídricos, solo e ar).</w:t>
      </w:r>
    </w:p>
    <w:p w:rsidR="009F45EF" w:rsidRDefault="007B0B48">
      <w:pPr>
        <w:spacing w:after="160" w:line="259" w:lineRule="auto"/>
        <w:ind w:firstLine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K3.7. Referências Bibliográficas.</w:t>
      </w:r>
    </w:p>
    <w:p w:rsidR="009F45EF" w:rsidRDefault="007B0B48">
      <w:pPr>
        <w:spacing w:after="160"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K4. RELATÓRIO DE RESULTADOS DO PLANO DE TRABALHO DE FAUNA DEVERÁ CONTER</w:t>
      </w:r>
    </w:p>
    <w:p w:rsidR="009F45EF" w:rsidRDefault="007B0B48">
      <w:pPr>
        <w:spacing w:after="160" w:line="259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K4.1. Memorial Descritivo:</w:t>
      </w:r>
      <w:r>
        <w:rPr>
          <w:rFonts w:ascii="Arial" w:eastAsia="Arial" w:hAnsi="Arial" w:cs="Arial"/>
        </w:rPr>
        <w:t xml:space="preserve"> Descrever</w:t>
      </w:r>
      <w:r>
        <w:rPr>
          <w:rFonts w:ascii="Arial" w:eastAsia="Arial" w:hAnsi="Arial" w:cs="Arial"/>
        </w:rPr>
        <w:t xml:space="preserve"> o empreendimento citando sua localização com croqui de acesso; área total do empreendimento; infraestrutura existente e a ser implantada; atividades a serem desenvolvidas; fitofisionomias e demais recursos naturais e/ou artificiais presentes, destacando a</w:t>
      </w:r>
      <w:r>
        <w:rPr>
          <w:rFonts w:ascii="Arial" w:eastAsia="Arial" w:hAnsi="Arial" w:cs="Arial"/>
        </w:rPr>
        <w:t>s áreas de preservação permanente.</w:t>
      </w:r>
    </w:p>
    <w:p w:rsidR="009F45EF" w:rsidRDefault="007B0B48">
      <w:pPr>
        <w:spacing w:after="160" w:line="259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K4.2. Mapas, imagens de satélite ou foto aérea, </w:t>
      </w:r>
      <w:proofErr w:type="spellStart"/>
      <w:r>
        <w:rPr>
          <w:rFonts w:ascii="Arial" w:eastAsia="Arial" w:hAnsi="Arial" w:cs="Arial"/>
          <w:b/>
        </w:rPr>
        <w:t>georreferenciadas</w:t>
      </w:r>
      <w:proofErr w:type="spellEnd"/>
      <w:r>
        <w:rPr>
          <w:rFonts w:ascii="Arial" w:eastAsia="Arial" w:hAnsi="Arial" w:cs="Arial"/>
        </w:rPr>
        <w:t xml:space="preserve"> (</w:t>
      </w:r>
      <w:r>
        <w:rPr>
          <w:rFonts w:ascii="Arial" w:eastAsia="Arial" w:hAnsi="Arial" w:cs="Arial"/>
        </w:rPr>
        <w:t>SIRGAS 2000) em escala compatível de uso e cobertura do solo para área de estudo constando a poligonal do empreendimento identi</w:t>
      </w:r>
      <w:r>
        <w:rPr>
          <w:rFonts w:ascii="Arial" w:eastAsia="Arial" w:hAnsi="Arial" w:cs="Arial"/>
        </w:rPr>
        <w:t>ficando: o empreendimento com estruturas internas existentes e/ou projetadas, contemplando ainda as áreas afetadas pelo empreendimento, localização e tamanho das áreas a serem amostradas, das áreas prioritárias para conservação, unidades de conservação,</w:t>
      </w:r>
      <w:r w:rsidR="00DD0D4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cor</w:t>
      </w:r>
      <w:r>
        <w:rPr>
          <w:rFonts w:ascii="Arial" w:eastAsia="Arial" w:hAnsi="Arial" w:cs="Arial"/>
        </w:rPr>
        <w:t>redores ecológicos e demais áreas especialmente protegidas, considerando as distâncias aproximadas existentes entre as mesmas e o empreendedor, e discriminando as fitofisionomias para as áreas de vegetação natural, quando couber; sendo uma via em meio impr</w:t>
      </w:r>
      <w:r>
        <w:rPr>
          <w:rFonts w:ascii="Arial" w:eastAsia="Arial" w:hAnsi="Arial" w:cs="Arial"/>
        </w:rPr>
        <w:t xml:space="preserve">esso e outra em meio digital de </w:t>
      </w:r>
      <w:r w:rsidR="00DD0D44">
        <w:rPr>
          <w:rFonts w:ascii="Arial" w:eastAsia="Arial" w:hAnsi="Arial" w:cs="Arial"/>
        </w:rPr>
        <w:t>formato</w:t>
      </w:r>
      <w:r w:rsidR="00DD0D44">
        <w:rPr>
          <w:rFonts w:ascii="Arial" w:eastAsia="Arial" w:hAnsi="Arial" w:cs="Arial"/>
        </w:rPr>
        <w:t xml:space="preserve"> </w:t>
      </w:r>
      <w:proofErr w:type="spellStart"/>
      <w:r w:rsidR="00DD0D44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>hape</w:t>
      </w:r>
      <w:r w:rsidR="00DD0D44">
        <w:rPr>
          <w:rFonts w:ascii="Arial" w:eastAsia="Arial" w:hAnsi="Arial" w:cs="Arial"/>
        </w:rPr>
        <w:t>file</w:t>
      </w:r>
      <w:proofErr w:type="spellEnd"/>
      <w:r>
        <w:rPr>
          <w:rFonts w:ascii="Arial" w:eastAsia="Arial" w:hAnsi="Arial" w:cs="Arial"/>
        </w:rPr>
        <w:t xml:space="preserve"> (SHP e suas extensões derivadas: .SHX, .DBF, .PRJ), acompanhada da ART do responsável técnico.</w:t>
      </w:r>
    </w:p>
    <w:p w:rsidR="009F45EF" w:rsidRDefault="007B0B48">
      <w:pPr>
        <w:spacing w:after="160" w:line="259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K4.3. Caracterização do ambiente encontrado na área de influência do empreendimento</w:t>
      </w:r>
      <w:r>
        <w:rPr>
          <w:rFonts w:ascii="Arial" w:eastAsia="Arial" w:hAnsi="Arial" w:cs="Arial"/>
        </w:rPr>
        <w:t xml:space="preserve"> (ADA, AID, AII), com descrição</w:t>
      </w:r>
      <w:r>
        <w:rPr>
          <w:rFonts w:ascii="Arial" w:eastAsia="Arial" w:hAnsi="Arial" w:cs="Arial"/>
        </w:rPr>
        <w:t xml:space="preserve"> dos tipos de habitats encontrados (incluindo áreas </w:t>
      </w:r>
      <w:proofErr w:type="spellStart"/>
      <w:r>
        <w:rPr>
          <w:rFonts w:ascii="Arial" w:eastAsia="Arial" w:hAnsi="Arial" w:cs="Arial"/>
        </w:rPr>
        <w:t>antropizadas</w:t>
      </w:r>
      <w:proofErr w:type="spellEnd"/>
      <w:r>
        <w:rPr>
          <w:rFonts w:ascii="Arial" w:eastAsia="Arial" w:hAnsi="Arial" w:cs="Arial"/>
        </w:rPr>
        <w:t xml:space="preserve"> como pastagens, plantações e outras áreas manejadas). Os tipos de habitats deverão ser mapeados, com indicação dos seus tamanhos em termos percentuais e absolutos, além de indicar os pontos a</w:t>
      </w:r>
      <w:r>
        <w:rPr>
          <w:rFonts w:ascii="Arial" w:eastAsia="Arial" w:hAnsi="Arial" w:cs="Arial"/>
        </w:rPr>
        <w:t xml:space="preserve">mostrados (coordenadas UTM, </w:t>
      </w:r>
      <w:r>
        <w:rPr>
          <w:rFonts w:ascii="Arial" w:eastAsia="Arial" w:hAnsi="Arial" w:cs="Arial"/>
        </w:rPr>
        <w:t>SIRGAS 2000) para cada grupo taxonômico;</w:t>
      </w:r>
    </w:p>
    <w:p w:rsidR="009F45EF" w:rsidRDefault="007B0B48">
      <w:pPr>
        <w:spacing w:after="160" w:line="259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K4.4 Lista das espécies encontradas</w:t>
      </w:r>
      <w:r>
        <w:rPr>
          <w:rFonts w:ascii="Arial" w:eastAsia="Arial" w:hAnsi="Arial" w:cs="Arial"/>
        </w:rPr>
        <w:t xml:space="preserve">, indicando as formas dos registros e habitats, destacando as espécies ameaçadas de extinção, endêmicas, </w:t>
      </w:r>
      <w:proofErr w:type="spellStart"/>
      <w:r>
        <w:rPr>
          <w:rFonts w:ascii="Arial" w:eastAsia="Arial" w:hAnsi="Arial" w:cs="Arial"/>
        </w:rPr>
        <w:t>sobreexplotadas</w:t>
      </w:r>
      <w:proofErr w:type="spellEnd"/>
      <w:r>
        <w:rPr>
          <w:rFonts w:ascii="Arial" w:eastAsia="Arial" w:hAnsi="Arial" w:cs="Arial"/>
        </w:rPr>
        <w:t>, consideradas raras, n</w:t>
      </w:r>
      <w:r>
        <w:rPr>
          <w:rFonts w:ascii="Arial" w:eastAsia="Arial" w:hAnsi="Arial" w:cs="Arial"/>
        </w:rPr>
        <w:t>ão descritas previamente para a área estudada (ou pela ciência), passíveis de serem utilizadas como indicadoras de qualidade ambiental, de importância econômica e cinegética, potencialmente invasoras ou de risco epidemiológico (inclusive domésticas) e as m</w:t>
      </w:r>
      <w:r>
        <w:rPr>
          <w:rFonts w:ascii="Arial" w:eastAsia="Arial" w:hAnsi="Arial" w:cs="Arial"/>
        </w:rPr>
        <w:t>igratórias com suas rotas;</w:t>
      </w:r>
    </w:p>
    <w:p w:rsidR="009F45EF" w:rsidRDefault="007B0B48">
      <w:pPr>
        <w:spacing w:after="160" w:line="259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K4.5. Esforço amostral, parâmetros de riqueza e abundância das espécies</w:t>
      </w:r>
      <w:r>
        <w:rPr>
          <w:rFonts w:ascii="Arial" w:eastAsia="Arial" w:hAnsi="Arial" w:cs="Arial"/>
        </w:rPr>
        <w:t>, índice de diversidade e demais análises estatística pertinentes, por fitofisionomia e grupo inventariado, contemplando a sazonalidade em cada área amostrada (quando couber);</w:t>
      </w:r>
    </w:p>
    <w:p w:rsidR="009F45EF" w:rsidRDefault="007B0B48">
      <w:pPr>
        <w:spacing w:after="160" w:line="259" w:lineRule="auto"/>
        <w:ind w:firstLine="708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K4.6. Apresentação da curva do coletor e estatística associada;</w:t>
      </w:r>
    </w:p>
    <w:p w:rsidR="009F45EF" w:rsidRDefault="007B0B48">
      <w:pPr>
        <w:spacing w:after="160" w:line="259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K4.7. Detalhamen</w:t>
      </w:r>
      <w:r>
        <w:rPr>
          <w:rFonts w:ascii="Arial" w:eastAsia="Arial" w:hAnsi="Arial" w:cs="Arial"/>
          <w:b/>
        </w:rPr>
        <w:t>to da captura, tipo de marcação, triagem e dos demais procedimentos</w:t>
      </w:r>
      <w:r>
        <w:rPr>
          <w:rFonts w:ascii="Arial" w:eastAsia="Arial" w:hAnsi="Arial" w:cs="Arial"/>
        </w:rPr>
        <w:t xml:space="preserve"> adotados para os exemplares capturados ou coletados (vivos ou mortos), informando o tipo de identificação individual, registro e biometria;</w:t>
      </w:r>
    </w:p>
    <w:p w:rsidR="009F45EF" w:rsidRDefault="007B0B48">
      <w:pPr>
        <w:spacing w:after="160" w:line="259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K4.8. Anexo digital com lista dos dados brutos d</w:t>
      </w:r>
      <w:r>
        <w:rPr>
          <w:rFonts w:ascii="Arial" w:eastAsia="Arial" w:hAnsi="Arial" w:cs="Arial"/>
          <w:b/>
        </w:rPr>
        <w:t>os registros de todos os espécimes</w:t>
      </w:r>
      <w:r>
        <w:rPr>
          <w:rFonts w:ascii="Arial" w:eastAsia="Arial" w:hAnsi="Arial" w:cs="Arial"/>
        </w:rPr>
        <w:t xml:space="preserve"> levantados através de dados PRIMÁRIOS, contendo identificação taxonômica, biometria, formas de registro, local </w:t>
      </w:r>
      <w:proofErr w:type="spellStart"/>
      <w:r>
        <w:rPr>
          <w:rFonts w:ascii="Arial" w:eastAsia="Arial" w:hAnsi="Arial" w:cs="Arial"/>
        </w:rPr>
        <w:t>georreferenciado</w:t>
      </w:r>
      <w:proofErr w:type="spellEnd"/>
      <w:r>
        <w:rPr>
          <w:rFonts w:ascii="Arial" w:eastAsia="Arial" w:hAnsi="Arial" w:cs="Arial"/>
        </w:rPr>
        <w:t xml:space="preserve"> (</w:t>
      </w:r>
      <w:r>
        <w:rPr>
          <w:rFonts w:ascii="Arial" w:eastAsia="Arial" w:hAnsi="Arial" w:cs="Arial"/>
        </w:rPr>
        <w:t>SIRGAS 2000), habitat, destinação e data;</w:t>
      </w:r>
    </w:p>
    <w:p w:rsidR="009F45EF" w:rsidRDefault="007B0B48">
      <w:pPr>
        <w:spacing w:after="160" w:line="259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 xml:space="preserve">K4.9. Manifestações oficiais </w:t>
      </w:r>
      <w:r>
        <w:rPr>
          <w:rFonts w:ascii="Arial" w:eastAsia="Arial" w:hAnsi="Arial" w:cs="Arial"/>
          <w:b/>
        </w:rPr>
        <w:t xml:space="preserve">das instituições que receberam material zoológico </w:t>
      </w:r>
      <w:r>
        <w:rPr>
          <w:rFonts w:ascii="Arial" w:eastAsia="Arial" w:hAnsi="Arial" w:cs="Arial"/>
        </w:rPr>
        <w:t>(criadouros, zoológicos, museus e instituições de ensino e pesquisa), incluindo a destinação e a identificação dos exemplares recebidos.</w:t>
      </w:r>
    </w:p>
    <w:p w:rsidR="009F45EF" w:rsidRDefault="009F45EF">
      <w:pPr>
        <w:spacing w:after="160" w:line="259" w:lineRule="auto"/>
        <w:jc w:val="both"/>
        <w:rPr>
          <w:rFonts w:ascii="Calibri" w:eastAsia="Calibri" w:hAnsi="Calibri" w:cs="Calibri"/>
        </w:rPr>
      </w:pPr>
    </w:p>
    <w:p w:rsidR="009F45EF" w:rsidRDefault="009F45EF">
      <w:pPr>
        <w:ind w:left="3540" w:firstLine="3"/>
        <w:rPr>
          <w:rFonts w:ascii="Calibri" w:eastAsia="Calibri" w:hAnsi="Calibri" w:cs="Calibri"/>
          <w:i/>
          <w:sz w:val="22"/>
          <w:szCs w:val="22"/>
        </w:rPr>
      </w:pPr>
    </w:p>
    <w:p w:rsidR="009F45EF" w:rsidRDefault="009F45EF">
      <w:pPr>
        <w:ind w:left="3540" w:firstLine="3"/>
        <w:rPr>
          <w:rFonts w:ascii="Calibri" w:eastAsia="Calibri" w:hAnsi="Calibri" w:cs="Calibri"/>
          <w:i/>
          <w:sz w:val="22"/>
          <w:szCs w:val="22"/>
        </w:rPr>
      </w:pPr>
    </w:p>
    <w:p w:rsidR="009F45EF" w:rsidRDefault="009F45EF">
      <w:pPr>
        <w:ind w:left="3540" w:firstLine="3"/>
        <w:rPr>
          <w:rFonts w:ascii="Calibri" w:eastAsia="Calibri" w:hAnsi="Calibri" w:cs="Calibri"/>
          <w:i/>
          <w:sz w:val="22"/>
          <w:szCs w:val="22"/>
        </w:rPr>
      </w:pPr>
    </w:p>
    <w:sectPr w:rsidR="009F45EF">
      <w:headerReference w:type="default" r:id="rId8"/>
      <w:footerReference w:type="default" r:id="rId9"/>
      <w:pgSz w:w="11906" w:h="16838"/>
      <w:pgMar w:top="1276" w:right="1133" w:bottom="1417" w:left="1275" w:header="709" w:footer="3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B48" w:rsidRDefault="007B0B48">
      <w:r>
        <w:separator/>
      </w:r>
    </w:p>
  </w:endnote>
  <w:endnote w:type="continuationSeparator" w:id="0">
    <w:p w:rsidR="007B0B48" w:rsidRDefault="007B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5EF" w:rsidRDefault="009F45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3844"/>
        <w:tab w:val="center" w:pos="4252"/>
        <w:tab w:val="right" w:pos="7689"/>
        <w:tab w:val="right" w:pos="8504"/>
      </w:tabs>
      <w:jc w:val="right"/>
      <w:rPr>
        <w:rFonts w:ascii="Arial Narrow" w:eastAsia="Arial Narrow" w:hAnsi="Arial Narrow" w:cs="Arial Narrow"/>
        <w:b/>
        <w:i/>
        <w:color w:val="808080"/>
        <w:sz w:val="14"/>
        <w:szCs w:val="14"/>
      </w:rPr>
    </w:pPr>
  </w:p>
  <w:p w:rsidR="009F45EF" w:rsidRDefault="009F45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B48" w:rsidRDefault="007B0B48">
      <w:r>
        <w:separator/>
      </w:r>
    </w:p>
  </w:footnote>
  <w:footnote w:type="continuationSeparator" w:id="0">
    <w:p w:rsidR="007B0B48" w:rsidRDefault="007B0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5EF" w:rsidRDefault="009F45EF">
    <w:pPr>
      <w:widowControl w:val="0"/>
      <w:spacing w:line="276" w:lineRule="auto"/>
    </w:pPr>
  </w:p>
  <w:tbl>
    <w:tblPr>
      <w:tblStyle w:val="af3"/>
      <w:tblW w:w="948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195"/>
      <w:gridCol w:w="4845"/>
      <w:gridCol w:w="1440"/>
    </w:tblGrid>
    <w:tr w:rsidR="009F45EF">
      <w:trPr>
        <w:trHeight w:val="977"/>
        <w:jc w:val="center"/>
      </w:trPr>
      <w:tc>
        <w:tcPr>
          <w:tcW w:w="3195" w:type="dxa"/>
          <w:shd w:val="clear" w:color="auto" w:fill="auto"/>
          <w:vAlign w:val="center"/>
        </w:tcPr>
        <w:p w:rsidR="009F45EF" w:rsidRDefault="007B0B48">
          <w:pPr>
            <w:tabs>
              <w:tab w:val="center" w:pos="4252"/>
              <w:tab w:val="right" w:pos="8504"/>
              <w:tab w:val="left" w:pos="2948"/>
              <w:tab w:val="center" w:pos="4252"/>
              <w:tab w:val="right" w:pos="8504"/>
            </w:tabs>
            <w:rPr>
              <w:color w:val="FF0000"/>
            </w:rPr>
          </w:pPr>
          <w:r>
            <w:rPr>
              <w:noProof/>
              <w:color w:val="FF0000"/>
            </w:rPr>
            <w:drawing>
              <wp:inline distT="114300" distB="114300" distL="114300" distR="114300">
                <wp:extent cx="1800225" cy="444500"/>
                <wp:effectExtent l="0" t="0" r="0" b="0"/>
                <wp:docPr id="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225" cy="444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45" w:type="dxa"/>
          <w:shd w:val="clear" w:color="auto" w:fill="auto"/>
          <w:vAlign w:val="center"/>
        </w:tcPr>
        <w:p w:rsidR="009F45EF" w:rsidRDefault="007B0B48">
          <w:pPr>
            <w:tabs>
              <w:tab w:val="center" w:pos="4252"/>
              <w:tab w:val="right" w:pos="8504"/>
              <w:tab w:val="center" w:pos="4252"/>
              <w:tab w:val="left" w:pos="5696"/>
              <w:tab w:val="right" w:pos="8504"/>
              <w:tab w:val="right" w:pos="9540"/>
            </w:tabs>
            <w:jc w:val="center"/>
            <w:rPr>
              <w:rFonts w:ascii="Arial Narrow" w:eastAsia="Arial Narrow" w:hAnsi="Arial Narrow" w:cs="Arial Narrow"/>
              <w:b/>
              <w:sz w:val="32"/>
              <w:szCs w:val="32"/>
            </w:rPr>
          </w:pPr>
          <w:r>
            <w:rPr>
              <w:rFonts w:ascii="Arial Narrow" w:eastAsia="Arial Narrow" w:hAnsi="Arial Narrow" w:cs="Arial Narrow"/>
              <w:b/>
              <w:sz w:val="32"/>
              <w:szCs w:val="32"/>
            </w:rPr>
            <w:t>PLANO DE MANEJO DE FAUNA</w:t>
          </w:r>
        </w:p>
        <w:p w:rsidR="009F45EF" w:rsidRDefault="007B0B48">
          <w:pPr>
            <w:tabs>
              <w:tab w:val="center" w:pos="4252"/>
              <w:tab w:val="right" w:pos="8504"/>
              <w:tab w:val="center" w:pos="4252"/>
              <w:tab w:val="left" w:pos="5696"/>
              <w:tab w:val="right" w:pos="8504"/>
              <w:tab w:val="right" w:pos="9540"/>
            </w:tabs>
            <w:jc w:val="center"/>
            <w:rPr>
              <w:rFonts w:ascii="Arial Narrow" w:eastAsia="Arial Narrow" w:hAnsi="Arial Narrow" w:cs="Arial Narrow"/>
              <w:b/>
            </w:rPr>
          </w:pPr>
          <w:r>
            <w:rPr>
              <w:rFonts w:ascii="Arial Narrow" w:eastAsia="Arial Narrow" w:hAnsi="Arial Narrow" w:cs="Arial Narrow"/>
              <w:b/>
            </w:rPr>
            <w:t>TERMO DE REFERÊNCIA</w:t>
          </w:r>
        </w:p>
      </w:tc>
      <w:tc>
        <w:tcPr>
          <w:tcW w:w="1440" w:type="dxa"/>
          <w:shd w:val="clear" w:color="auto" w:fill="auto"/>
          <w:vAlign w:val="center"/>
        </w:tcPr>
        <w:p w:rsidR="009F45EF" w:rsidRDefault="007B0B48">
          <w:pPr>
            <w:tabs>
              <w:tab w:val="center" w:pos="4252"/>
              <w:tab w:val="right" w:pos="8504"/>
              <w:tab w:val="center" w:pos="4252"/>
              <w:tab w:val="left" w:pos="5696"/>
              <w:tab w:val="right" w:pos="8504"/>
              <w:tab w:val="right" w:pos="9540"/>
            </w:tabs>
            <w:jc w:val="center"/>
            <w:rPr>
              <w:rFonts w:ascii="Arial Narrow" w:eastAsia="Arial Narrow" w:hAnsi="Arial Narrow" w:cs="Arial Narrow"/>
              <w:b/>
              <w:sz w:val="32"/>
              <w:szCs w:val="32"/>
            </w:rPr>
          </w:pPr>
          <w:r>
            <w:rPr>
              <w:rFonts w:ascii="Arial Narrow" w:eastAsia="Arial Narrow" w:hAnsi="Arial Narrow" w:cs="Arial Narrow"/>
              <w:b/>
              <w:sz w:val="32"/>
              <w:szCs w:val="32"/>
            </w:rPr>
            <w:t>PMF-K</w:t>
          </w:r>
        </w:p>
      </w:tc>
    </w:tr>
  </w:tbl>
  <w:p w:rsidR="009F45EF" w:rsidRDefault="009F45EF">
    <w:pPr>
      <w:tabs>
        <w:tab w:val="center" w:pos="4252"/>
        <w:tab w:val="right" w:pos="8504"/>
      </w:tabs>
    </w:pPr>
  </w:p>
  <w:p w:rsidR="009F45EF" w:rsidRDefault="009F45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F0066"/>
    <w:multiLevelType w:val="multilevel"/>
    <w:tmpl w:val="042667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5EF"/>
    <w:rsid w:val="002C0282"/>
    <w:rsid w:val="00744AAA"/>
    <w:rsid w:val="007B0B48"/>
    <w:rsid w:val="009F45EF"/>
    <w:rsid w:val="00C95AE7"/>
    <w:rsid w:val="00DD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757E24-7AD3-46E6-90D3-1094AB42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DE3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qFormat/>
    <w:rsid w:val="0098134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qFormat/>
    <w:rsid w:val="0098134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40FAE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emEspaamento">
    <w:name w:val="No Spacing"/>
    <w:uiPriority w:val="99"/>
    <w:qFormat/>
    <w:rsid w:val="00FB2DE3"/>
    <w:pPr>
      <w:textAlignment w:val="baseline"/>
    </w:pPr>
    <w:rPr>
      <w:rFonts w:ascii="Arial" w:hAnsi="Arial" w:cs="Arial"/>
      <w:sz w:val="20"/>
      <w:szCs w:val="20"/>
    </w:rPr>
  </w:style>
  <w:style w:type="paragraph" w:styleId="PargrafodaLista">
    <w:name w:val="List Paragraph"/>
    <w:basedOn w:val="Normal"/>
    <w:qFormat/>
    <w:rsid w:val="008A2D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nhideWhenUsed/>
    <w:rsid w:val="0098134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98134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40FAE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F03590"/>
    <w:rPr>
      <w:rFonts w:ascii="Arial" w:eastAsia="Calibri" w:hAnsi="Arial" w:cs="Arial"/>
      <w:color w:val="000000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9203EC"/>
    <w:pPr>
      <w:spacing w:beforeAutospacing="1" w:afterAutospacing="1"/>
    </w:pPr>
    <w:rPr>
      <w:rFonts w:eastAsiaTheme="minorEastAsia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9203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elanormal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elanormal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elanormal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elanormal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elanormal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elanormal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elanormal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N/hMihaetCX/j/7x39Y+GOlbRg==">AMUW2mUC3Kmw4oDvcTaFJBIAKW7e5xVyIprkGnuAKKvPURY8admSnASQ61kr7WgGHu2O1KxCn3LycI9o1dSURtVdFlFmxFTYkzvTGqQxT4cd1f5s6NLf97Y=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1154</Words>
  <Characters>6232</Characters>
  <Application>Microsoft Office Word</Application>
  <DocSecurity>0</DocSecurity>
  <Lines>51</Lines>
  <Paragraphs>14</Paragraphs>
  <ScaleCrop>false</ScaleCrop>
  <Company/>
  <LinksUpToDate>false</LinksUpToDate>
  <CharactersWithSpaces>7372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GBTF</dc:creator>
  <cp:lastModifiedBy>SAC SEMAR-PI</cp:lastModifiedBy>
  <cp:revision>5</cp:revision>
  <dcterms:created xsi:type="dcterms:W3CDTF">2020-07-15T00:55:00Z</dcterms:created>
  <dcterms:modified xsi:type="dcterms:W3CDTF">2021-02-23T18:24:00Z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